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page" w:tblpX="896" w:tblpY="148"/>
        <w:tblOverlap w:val="never"/>
        <w:tblW w:w="15593" w:type="dxa"/>
        <w:tblInd w:w="0" w:type="dxa"/>
        <w:tblLayout w:type="fixed"/>
        <w:tblCellMar>
          <w:top w:w="0" w:type="dxa"/>
          <w:left w:w="108" w:type="dxa"/>
          <w:bottom w:w="0" w:type="dxa"/>
          <w:right w:w="108" w:type="dxa"/>
        </w:tblCellMar>
      </w:tblPr>
      <w:tblGrid>
        <w:gridCol w:w="992"/>
        <w:gridCol w:w="1560"/>
        <w:gridCol w:w="1645"/>
        <w:gridCol w:w="901"/>
        <w:gridCol w:w="836"/>
        <w:gridCol w:w="3079"/>
        <w:gridCol w:w="1340"/>
        <w:gridCol w:w="4887"/>
        <w:gridCol w:w="353"/>
      </w:tblGrid>
      <w:tr>
        <w:tblPrEx>
          <w:tblLayout w:type="fixed"/>
          <w:tblCellMar>
            <w:top w:w="0" w:type="dxa"/>
            <w:left w:w="108" w:type="dxa"/>
            <w:bottom w:w="0" w:type="dxa"/>
            <w:right w:w="108" w:type="dxa"/>
          </w:tblCellMar>
        </w:tblPrEx>
        <w:trPr>
          <w:trHeight w:val="977" w:hRule="atLeast"/>
        </w:trPr>
        <w:tc>
          <w:tcPr>
            <w:tcW w:w="15593" w:type="dxa"/>
            <w:gridSpan w:val="9"/>
            <w:tcBorders>
              <w:top w:val="nil"/>
              <w:left w:val="nil"/>
              <w:bottom w:val="nil"/>
              <w:right w:val="nil"/>
            </w:tcBorders>
            <w:vAlign w:val="center"/>
          </w:tcPr>
          <w:p>
            <w:pPr>
              <w:tabs>
                <w:tab w:val="center" w:pos="4772"/>
                <w:tab w:val="left" w:pos="7050"/>
              </w:tabs>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附件1：</w:t>
            </w:r>
          </w:p>
          <w:p>
            <w:pPr>
              <w:widowControl/>
              <w:jc w:val="center"/>
              <w:textAlignment w:val="center"/>
              <w:rPr>
                <w:rFonts w:hint="eastAsia" w:ascii="仿宋" w:hAnsi="仿宋" w:eastAsia="仿宋" w:cs="仿宋"/>
                <w:b/>
                <w:bCs/>
                <w:color w:val="000000"/>
                <w:sz w:val="36"/>
                <w:szCs w:val="36"/>
              </w:rPr>
            </w:pPr>
            <w:r>
              <w:rPr>
                <w:rFonts w:hint="eastAsia" w:ascii="仿宋" w:hAnsi="仿宋" w:eastAsia="仿宋" w:cs="仿宋"/>
                <w:b/>
                <w:bCs/>
                <w:color w:val="000000"/>
                <w:kern w:val="0"/>
                <w:sz w:val="36"/>
                <w:szCs w:val="36"/>
                <w:lang w:bidi="ar"/>
              </w:rPr>
              <w:t>吉林省净发创新投资集团子公司面向社会市场化选聘专业人才岗位一览表</w:t>
            </w:r>
          </w:p>
        </w:tc>
      </w:tr>
      <w:tr>
        <w:tblPrEx>
          <w:tblLayout w:type="fixed"/>
          <w:tblCellMar>
            <w:top w:w="0" w:type="dxa"/>
            <w:left w:w="108" w:type="dxa"/>
            <w:bottom w:w="0" w:type="dxa"/>
            <w:right w:w="108" w:type="dxa"/>
          </w:tblCellMar>
        </w:tblPrEx>
        <w:trPr>
          <w:trHeight w:val="559" w:hRule="atLeast"/>
        </w:trPr>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序号</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选聘单位</w:t>
            </w:r>
          </w:p>
        </w:tc>
        <w:tc>
          <w:tcPr>
            <w:tcW w:w="16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选聘岗位</w:t>
            </w:r>
          </w:p>
        </w:tc>
        <w:tc>
          <w:tcPr>
            <w:tcW w:w="9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选聘人数</w:t>
            </w:r>
          </w:p>
        </w:tc>
        <w:tc>
          <w:tcPr>
            <w:tcW w:w="8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年龄要求</w:t>
            </w:r>
          </w:p>
        </w:tc>
        <w:tc>
          <w:tcPr>
            <w:tcW w:w="3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专业要求</w:t>
            </w:r>
          </w:p>
        </w:tc>
        <w:tc>
          <w:tcPr>
            <w:tcW w:w="1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学历要求</w:t>
            </w:r>
          </w:p>
        </w:tc>
        <w:tc>
          <w:tcPr>
            <w:tcW w:w="48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rPr>
            </w:pPr>
            <w:r>
              <w:rPr>
                <w:rFonts w:hint="eastAsia" w:ascii="仿宋" w:hAnsi="仿宋" w:eastAsia="仿宋" w:cs="仿宋"/>
                <w:b/>
                <w:bCs/>
                <w:color w:val="000000"/>
                <w:kern w:val="0"/>
                <w:sz w:val="24"/>
                <w:szCs w:val="24"/>
                <w:lang w:bidi="ar"/>
              </w:rPr>
              <w:t>其他岗位要求</w:t>
            </w:r>
          </w:p>
        </w:tc>
        <w:tc>
          <w:tcPr>
            <w:tcW w:w="3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4"/>
                <w:szCs w:val="24"/>
                <w:lang w:eastAsia="zh-CN"/>
              </w:rPr>
            </w:pPr>
            <w:r>
              <w:rPr>
                <w:rFonts w:hint="eastAsia" w:ascii="仿宋" w:hAnsi="仿宋" w:eastAsia="仿宋" w:cs="仿宋"/>
                <w:b/>
                <w:bCs/>
                <w:color w:val="000000"/>
                <w:kern w:val="0"/>
                <w:sz w:val="24"/>
                <w:szCs w:val="24"/>
                <w:lang w:val="en-US" w:eastAsia="zh-CN" w:bidi="ar"/>
              </w:rPr>
              <w:t>备注</w:t>
            </w:r>
          </w:p>
        </w:tc>
      </w:tr>
      <w:tr>
        <w:tblPrEx>
          <w:tblLayout w:type="fixed"/>
          <w:tblCellMar>
            <w:top w:w="0" w:type="dxa"/>
            <w:left w:w="108" w:type="dxa"/>
            <w:bottom w:w="0" w:type="dxa"/>
            <w:right w:w="108" w:type="dxa"/>
          </w:tblCellMar>
        </w:tblPrEx>
        <w:trPr>
          <w:trHeight w:val="1928" w:hRule="atLeast"/>
        </w:trPr>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color w:val="000000"/>
                <w:kern w:val="0"/>
                <w:sz w:val="22"/>
                <w:lang w:val="en-US" w:eastAsia="zh-CN" w:bidi="ar"/>
              </w:rPr>
              <w:t>1</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cs="仿宋"/>
                <w:color w:val="000000"/>
                <w:sz w:val="22"/>
              </w:rPr>
              <w:t>长春市净发实业有限公司</w:t>
            </w:r>
          </w:p>
        </w:tc>
        <w:tc>
          <w:tcPr>
            <w:tcW w:w="16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sz w:val="22"/>
                <w:lang w:val="en-US" w:eastAsia="zh-CN"/>
              </w:rPr>
              <w:t>出纳</w:t>
            </w:r>
            <w:bookmarkStart w:id="0" w:name="_GoBack"/>
            <w:bookmarkEnd w:id="0"/>
          </w:p>
        </w:tc>
        <w:tc>
          <w:tcPr>
            <w:tcW w:w="9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rPr>
              <w:t>1</w:t>
            </w:r>
          </w:p>
        </w:tc>
        <w:tc>
          <w:tcPr>
            <w:tcW w:w="8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sz w:val="22"/>
                <w:highlight w:val="none"/>
              </w:rPr>
              <w:t>35周岁及以下</w:t>
            </w:r>
          </w:p>
        </w:tc>
        <w:tc>
          <w:tcPr>
            <w:tcW w:w="3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kern w:val="0"/>
                <w:sz w:val="24"/>
                <w:szCs w:val="24"/>
                <w:lang w:bidi="ar"/>
              </w:rPr>
            </w:pPr>
            <w:r>
              <w:rPr>
                <w:rFonts w:hint="default" w:ascii="仿宋" w:hAnsi="仿宋" w:eastAsia="仿宋"/>
                <w:sz w:val="22"/>
                <w:lang w:val="en-US" w:eastAsia="zh-CN"/>
              </w:rPr>
              <w:t>工商管理类（会计学专业）</w:t>
            </w:r>
          </w:p>
        </w:tc>
        <w:tc>
          <w:tcPr>
            <w:tcW w:w="1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kern w:val="0"/>
                <w:sz w:val="24"/>
                <w:szCs w:val="24"/>
                <w:lang w:bidi="ar"/>
              </w:rPr>
            </w:pPr>
            <w:r>
              <w:rPr>
                <w:rFonts w:hint="eastAsia" w:ascii="仿宋" w:hAnsi="仿宋" w:eastAsia="仿宋"/>
                <w:sz w:val="22"/>
              </w:rPr>
              <w:t>全日制本科及以上学历</w:t>
            </w:r>
          </w:p>
        </w:tc>
        <w:tc>
          <w:tcPr>
            <w:tcW w:w="4887"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eastAsia" w:ascii="仿宋" w:hAnsi="仿宋" w:eastAsia="仿宋"/>
                <w:sz w:val="22"/>
                <w:lang w:val="en-US" w:eastAsia="zh-CN"/>
              </w:rPr>
            </w:pPr>
            <w:r>
              <w:rPr>
                <w:rFonts w:hint="eastAsia" w:ascii="仿宋" w:hAnsi="仿宋" w:eastAsia="仿宋"/>
                <w:sz w:val="22"/>
                <w:lang w:val="en-US" w:eastAsia="zh-CN"/>
              </w:rPr>
              <w:t>1.具有3年以上出纳、会计、财务经验；</w:t>
            </w:r>
          </w:p>
          <w:p>
            <w:pPr>
              <w:widowControl/>
              <w:numPr>
                <w:ilvl w:val="0"/>
                <w:numId w:val="0"/>
              </w:numPr>
              <w:jc w:val="left"/>
              <w:textAlignment w:val="center"/>
              <w:rPr>
                <w:rFonts w:hint="eastAsia" w:ascii="仿宋" w:hAnsi="仿宋" w:eastAsia="仿宋"/>
                <w:sz w:val="22"/>
                <w:lang w:val="en-US" w:eastAsia="zh-CN"/>
              </w:rPr>
            </w:pPr>
            <w:r>
              <w:rPr>
                <w:rFonts w:hint="eastAsia" w:ascii="仿宋" w:hAnsi="仿宋" w:eastAsia="仿宋"/>
                <w:sz w:val="22"/>
                <w:lang w:val="en-US" w:eastAsia="zh-CN"/>
              </w:rPr>
              <w:t>2.具备扎实的财务专业知识，熟悉国内外财务法规和会计准则；</w:t>
            </w:r>
          </w:p>
          <w:p>
            <w:pPr>
              <w:widowControl/>
              <w:numPr>
                <w:ilvl w:val="0"/>
                <w:numId w:val="0"/>
              </w:numPr>
              <w:jc w:val="left"/>
              <w:textAlignment w:val="center"/>
              <w:rPr>
                <w:rFonts w:hint="eastAsia" w:ascii="仿宋" w:hAnsi="仿宋" w:eastAsia="仿宋"/>
                <w:sz w:val="22"/>
                <w:lang w:val="en-US" w:eastAsia="zh-CN"/>
              </w:rPr>
            </w:pPr>
            <w:r>
              <w:rPr>
                <w:rFonts w:hint="eastAsia" w:ascii="仿宋" w:hAnsi="仿宋" w:eastAsia="仿宋"/>
                <w:sz w:val="22"/>
                <w:lang w:val="en-US" w:eastAsia="zh-CN"/>
              </w:rPr>
              <w:t>3.具有收集和审核贸易原始凭证的经验，保证原始单据的合法性、准确性;</w:t>
            </w:r>
          </w:p>
          <w:p>
            <w:pPr>
              <w:widowControl/>
              <w:numPr>
                <w:ilvl w:val="0"/>
                <w:numId w:val="0"/>
              </w:numPr>
              <w:jc w:val="left"/>
              <w:textAlignment w:val="center"/>
              <w:rPr>
                <w:rFonts w:hint="eastAsia" w:ascii="仿宋" w:hAnsi="仿宋" w:eastAsia="仿宋"/>
                <w:sz w:val="22"/>
                <w:lang w:val="en-US" w:eastAsia="zh-CN"/>
              </w:rPr>
            </w:pPr>
            <w:r>
              <w:rPr>
                <w:rFonts w:hint="eastAsia" w:ascii="仿宋" w:hAnsi="仿宋" w:eastAsia="仿宋"/>
                <w:sz w:val="22"/>
                <w:lang w:val="en-US" w:eastAsia="zh-CN"/>
              </w:rPr>
              <w:t>4.具有准确登记现金、银行存款日记账的能力，按时编制银行存款余额调节表；</w:t>
            </w:r>
          </w:p>
          <w:p>
            <w:pPr>
              <w:widowControl/>
              <w:numPr>
                <w:ilvl w:val="0"/>
                <w:numId w:val="0"/>
              </w:numPr>
              <w:jc w:val="left"/>
              <w:textAlignment w:val="center"/>
              <w:rPr>
                <w:rFonts w:hint="eastAsia" w:ascii="仿宋" w:hAnsi="仿宋" w:eastAsia="仿宋"/>
                <w:sz w:val="22"/>
                <w:lang w:val="en-US" w:eastAsia="zh-CN"/>
              </w:rPr>
            </w:pPr>
            <w:r>
              <w:rPr>
                <w:rFonts w:hint="eastAsia" w:ascii="仿宋" w:hAnsi="仿宋" w:eastAsia="仿宋"/>
                <w:sz w:val="22"/>
                <w:lang w:val="en-US" w:eastAsia="zh-CN"/>
              </w:rPr>
              <w:t>5.良好沟通能力，可高效处理与银行、客户、供应商的对账工作；</w:t>
            </w:r>
          </w:p>
          <w:p>
            <w:pPr>
              <w:widowControl/>
              <w:numPr>
                <w:ilvl w:val="0"/>
                <w:numId w:val="0"/>
              </w:numPr>
              <w:ind w:left="0" w:leftChars="0" w:firstLine="0" w:firstLineChars="0"/>
              <w:jc w:val="left"/>
              <w:textAlignment w:val="center"/>
              <w:rPr>
                <w:rFonts w:hint="eastAsia" w:ascii="仿宋" w:hAnsi="仿宋" w:eastAsia="仿宋" w:cs="仿宋"/>
                <w:b/>
                <w:bCs/>
                <w:color w:val="000000"/>
                <w:kern w:val="0"/>
                <w:sz w:val="24"/>
                <w:szCs w:val="24"/>
                <w:lang w:bidi="ar"/>
              </w:rPr>
            </w:pPr>
            <w:r>
              <w:rPr>
                <w:rFonts w:hint="eastAsia" w:ascii="仿宋" w:hAnsi="仿宋" w:eastAsia="仿宋"/>
                <w:sz w:val="22"/>
                <w:lang w:val="en-US" w:eastAsia="zh-CN"/>
              </w:rPr>
              <w:t>6.良好英语能力，可处理国际贸易的基础结算工作；</w:t>
            </w:r>
          </w:p>
        </w:tc>
        <w:tc>
          <w:tcPr>
            <w:tcW w:w="353"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b/>
                <w:bCs/>
                <w:color w:val="000000"/>
                <w:kern w:val="0"/>
                <w:sz w:val="24"/>
                <w:szCs w:val="24"/>
                <w:lang w:val="en-US" w:eastAsia="zh-CN" w:bidi="ar"/>
              </w:rPr>
            </w:pPr>
          </w:p>
        </w:tc>
      </w:tr>
    </w:tbl>
    <w:p/>
    <w:p/>
    <w:p/>
    <w:sectPr>
      <w:pgSz w:w="16783" w:h="11850"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BC2521"/>
    <w:rsid w:val="188D68A0"/>
    <w:rsid w:val="1D623B53"/>
    <w:rsid w:val="4A434A8B"/>
    <w:rsid w:val="741D10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unhideWhenUsed/>
    <w:qFormat/>
    <w:uiPriority w:val="0"/>
    <w:pPr>
      <w:tabs>
        <w:tab w:val="left" w:pos="360"/>
      </w:tabs>
      <w:spacing w:after="120"/>
      <w:ind w:firstLine="420"/>
    </w:pPr>
    <w:rPr>
      <w:sz w:val="24"/>
    </w:rPr>
  </w:style>
  <w:style w:type="paragraph" w:styleId="3">
    <w:name w:val="Body Text Indent"/>
    <w:basedOn w:val="1"/>
    <w:next w:val="1"/>
    <w:unhideWhenUsed/>
    <w:qFormat/>
    <w:uiPriority w:val="0"/>
    <w:pPr>
      <w:spacing w:line="440" w:lineRule="exact"/>
      <w:ind w:firstLine="567"/>
    </w:pPr>
    <w:rPr>
      <w:rFonts w:ascii="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2024-09-14T01:04:00Z</cp:lastPrinted>
  <dcterms:modified xsi:type="dcterms:W3CDTF">2024-11-13T01:08:04Z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